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1FECA7" w14:textId="77777777" w:rsidR="00CA527C" w:rsidRDefault="00CA527C">
      <w:pPr>
        <w:pBdr>
          <w:bottom w:val="single" w:sz="4" w:space="1" w:color="000000"/>
        </w:pBdr>
        <w:tabs>
          <w:tab w:val="left" w:pos="2520"/>
        </w:tabs>
        <w:spacing w:after="0" w:line="276" w:lineRule="auto"/>
        <w:jc w:val="both"/>
        <w:rPr>
          <w:sz w:val="20"/>
          <w:szCs w:val="20"/>
        </w:rPr>
      </w:pPr>
    </w:p>
    <w:p w14:paraId="66C6B827" w14:textId="77777777" w:rsidR="00CA527C" w:rsidRDefault="00CA527C">
      <w:pPr>
        <w:spacing w:after="0" w:line="276" w:lineRule="auto"/>
        <w:jc w:val="both"/>
        <w:rPr>
          <w:sz w:val="20"/>
          <w:szCs w:val="20"/>
        </w:rPr>
      </w:pPr>
    </w:p>
    <w:p w14:paraId="7093A92D" w14:textId="77777777" w:rsidR="00CA527C" w:rsidRDefault="009257FB">
      <w:pPr>
        <w:pStyle w:val="Nagwek2"/>
        <w:keepLines w:val="0"/>
        <w:spacing w:before="0" w:line="240" w:lineRule="auto"/>
        <w:jc w:val="right"/>
        <w:rPr>
          <w:b/>
          <w:bCs/>
          <w:color w:val="4472C4"/>
          <w:sz w:val="20"/>
          <w:szCs w:val="20"/>
        </w:rPr>
      </w:pPr>
      <w:r>
        <w:rPr>
          <w:b/>
          <w:bCs/>
          <w:color w:val="4472C4"/>
          <w:sz w:val="20"/>
          <w:szCs w:val="20"/>
        </w:rPr>
        <w:t>Załącznik nr 1.3 do SWZ</w:t>
      </w:r>
    </w:p>
    <w:p w14:paraId="6BCE0A99" w14:textId="77777777" w:rsidR="00CA527C" w:rsidRDefault="009257FB">
      <w:pPr>
        <w:jc w:val="right"/>
        <w:rPr>
          <w:color w:val="4472C4"/>
          <w:sz w:val="20"/>
          <w:szCs w:val="20"/>
        </w:rPr>
      </w:pPr>
      <w:r>
        <w:rPr>
          <w:color w:val="4472C4"/>
          <w:sz w:val="20"/>
          <w:szCs w:val="20"/>
        </w:rPr>
        <w:t>(do złożenia wraz z ofertą)</w:t>
      </w:r>
    </w:p>
    <w:p w14:paraId="5A79751C" w14:textId="77777777" w:rsidR="00CA527C" w:rsidRPr="00D417F4" w:rsidRDefault="009257FB">
      <w:pPr>
        <w:pStyle w:val="Nagwek2"/>
        <w:keepLines w:val="0"/>
        <w:spacing w:before="0" w:line="240" w:lineRule="auto"/>
        <w:jc w:val="center"/>
        <w:rPr>
          <w:b/>
          <w:bCs/>
          <w:color w:val="000000"/>
          <w:sz w:val="22"/>
          <w:szCs w:val="22"/>
        </w:rPr>
      </w:pPr>
      <w:r w:rsidRPr="00D417F4">
        <w:rPr>
          <w:b/>
          <w:bCs/>
          <w:color w:val="000000"/>
          <w:sz w:val="22"/>
          <w:szCs w:val="22"/>
        </w:rPr>
        <w:t>Szczegółowy Opis Przedmiotu Zamówienia</w:t>
      </w:r>
    </w:p>
    <w:p w14:paraId="008E91CF" w14:textId="77777777" w:rsidR="00CA527C" w:rsidRPr="00D417F4" w:rsidRDefault="00CA527C">
      <w:pPr>
        <w:pStyle w:val="Nagwek2"/>
        <w:keepLines w:val="0"/>
        <w:spacing w:before="0" w:line="240" w:lineRule="auto"/>
        <w:jc w:val="center"/>
        <w:rPr>
          <w:b/>
          <w:bCs/>
          <w:color w:val="000000"/>
          <w:sz w:val="22"/>
          <w:szCs w:val="22"/>
        </w:rPr>
      </w:pPr>
      <w:bookmarkStart w:id="0" w:name="_heading=h.wmqrists7t3d" w:colFirst="0" w:colLast="0"/>
      <w:bookmarkEnd w:id="0"/>
    </w:p>
    <w:p w14:paraId="787C757B" w14:textId="77777777" w:rsidR="00CA527C" w:rsidRPr="00D417F4" w:rsidRDefault="009257FB">
      <w:pPr>
        <w:pStyle w:val="Nagwek2"/>
        <w:keepLines w:val="0"/>
        <w:spacing w:before="0" w:line="240" w:lineRule="auto"/>
        <w:jc w:val="center"/>
        <w:rPr>
          <w:b/>
          <w:bCs/>
          <w:color w:val="000000"/>
          <w:sz w:val="22"/>
          <w:szCs w:val="22"/>
        </w:rPr>
      </w:pPr>
      <w:bookmarkStart w:id="1" w:name="_heading=h.w90sk1sqcxf8" w:colFirst="0" w:colLast="0"/>
      <w:bookmarkEnd w:id="1"/>
      <w:r w:rsidRPr="00D417F4">
        <w:rPr>
          <w:b/>
          <w:bCs/>
          <w:color w:val="000000"/>
          <w:sz w:val="22"/>
          <w:szCs w:val="22"/>
        </w:rPr>
        <w:t>Pakiet nr 3</w:t>
      </w:r>
    </w:p>
    <w:p w14:paraId="59B3F43B" w14:textId="77777777" w:rsidR="00CA527C" w:rsidRPr="00D417F4" w:rsidRDefault="009257FB">
      <w:pPr>
        <w:pStyle w:val="Nagwek2"/>
        <w:keepLines w:val="0"/>
        <w:spacing w:before="0" w:line="240" w:lineRule="auto"/>
        <w:jc w:val="center"/>
        <w:rPr>
          <w:b/>
          <w:bCs/>
          <w:color w:val="000000"/>
          <w:sz w:val="22"/>
          <w:szCs w:val="22"/>
        </w:rPr>
      </w:pPr>
      <w:bookmarkStart w:id="2" w:name="_heading=h.pu09qmu46bf4" w:colFirst="0" w:colLast="0"/>
      <w:bookmarkEnd w:id="2"/>
      <w:r w:rsidRPr="00D417F4">
        <w:rPr>
          <w:b/>
          <w:bCs/>
          <w:color w:val="000000"/>
          <w:sz w:val="22"/>
          <w:szCs w:val="22"/>
        </w:rPr>
        <w:t>„Dostawa licencji (1 szt) relacyjnego systemu zarządzania bazą danych (RDBMS) klasy enterprise”</w:t>
      </w:r>
    </w:p>
    <w:p w14:paraId="67AD6D3F" w14:textId="77777777" w:rsidR="00CA527C" w:rsidRPr="00D417F4" w:rsidRDefault="00CA527C">
      <w:pPr>
        <w:spacing w:line="276" w:lineRule="auto"/>
      </w:pPr>
    </w:p>
    <w:p w14:paraId="034506B9" w14:textId="454E949B" w:rsidR="00CA527C" w:rsidRPr="00D417F4" w:rsidRDefault="009257FB">
      <w:pPr>
        <w:spacing w:after="0" w:line="276" w:lineRule="auto"/>
        <w:jc w:val="both"/>
      </w:pPr>
      <w:r w:rsidRPr="00D417F4">
        <w:t xml:space="preserve">Przedmiotem pakietu jest </w:t>
      </w:r>
      <w:r w:rsidRPr="00D417F4">
        <w:rPr>
          <w:b/>
          <w:bCs/>
        </w:rPr>
        <w:t>dostawa licencji (1 szt) relacyjnego systemu zarządzania bazą danych (RDBMS) klasy enterprise</w:t>
      </w:r>
      <w:r w:rsidRPr="00D417F4">
        <w:t xml:space="preserve"> wraz z zapewnieniem wsparcia producenta </w:t>
      </w:r>
      <w:r w:rsidR="009515C7" w:rsidRPr="00D417F4">
        <w:t xml:space="preserve">(gwarancji) </w:t>
      </w:r>
      <w:r w:rsidRPr="00D417F4">
        <w:t>na okres minimum 36 miesięcy. Oprogramowanie będzie wykorzystywane w środowisku produkcyjnym systemu klasy HIS funkcjonującym u Zamawiającego.</w:t>
      </w:r>
    </w:p>
    <w:p w14:paraId="0A1F8BDA" w14:textId="77777777" w:rsidR="00CA527C" w:rsidRPr="00D417F4" w:rsidRDefault="00616CB5">
      <w:pPr>
        <w:spacing w:after="0" w:line="276" w:lineRule="auto"/>
        <w:jc w:val="both"/>
      </w:pPr>
      <w:r w:rsidRPr="00D417F4">
        <w:pict w14:anchorId="1BBDF9A2">
          <v:rect id="_x0000_i1025" style="width:0;height:1.5pt" o:hralign="center" o:hrstd="t" o:hr="t" fillcolor="#a0a0a0" stroked="f"/>
        </w:pict>
      </w:r>
    </w:p>
    <w:p w14:paraId="7744D6DA" w14:textId="77777777" w:rsidR="00CA527C" w:rsidRPr="00D417F4" w:rsidRDefault="009257FB">
      <w:pPr>
        <w:spacing w:after="0" w:line="276" w:lineRule="auto"/>
        <w:jc w:val="both"/>
        <w:rPr>
          <w:b/>
          <w:bCs/>
        </w:rPr>
      </w:pPr>
      <w:r w:rsidRPr="00D417F4">
        <w:rPr>
          <w:b/>
          <w:bCs/>
        </w:rPr>
        <w:t>1. Zasady równoważności</w:t>
      </w:r>
    </w:p>
    <w:p w14:paraId="26F363EC" w14:textId="77777777" w:rsidR="00CA527C" w:rsidRPr="00D417F4" w:rsidRDefault="009257FB">
      <w:pPr>
        <w:spacing w:after="0" w:line="276" w:lineRule="auto"/>
        <w:jc w:val="both"/>
      </w:pPr>
      <w:r w:rsidRPr="00D417F4">
        <w:t>Zamawiający dopuszcza zaoferowanie rozwiązań równoważnych, przy czym rozwiązanie równoważne musi:</w:t>
      </w:r>
    </w:p>
    <w:p w14:paraId="624D0D4E" w14:textId="77777777" w:rsidR="00CA527C" w:rsidRPr="00D417F4" w:rsidRDefault="009257FB">
      <w:pPr>
        <w:numPr>
          <w:ilvl w:val="0"/>
          <w:numId w:val="1"/>
        </w:numPr>
        <w:spacing w:after="0" w:line="276" w:lineRule="auto"/>
        <w:jc w:val="both"/>
      </w:pPr>
      <w:r w:rsidRPr="00D417F4">
        <w:t>spełniać wymagania funkcjonalne, techniczne i jakościowe na poziomie co najmniej tych, które są określone w niniejszym OPZ,</w:t>
      </w:r>
    </w:p>
    <w:p w14:paraId="4104487F" w14:textId="77777777" w:rsidR="00CA527C" w:rsidRPr="00D417F4" w:rsidRDefault="009257FB">
      <w:pPr>
        <w:numPr>
          <w:ilvl w:val="0"/>
          <w:numId w:val="1"/>
        </w:numPr>
        <w:spacing w:after="0" w:line="276" w:lineRule="auto"/>
        <w:jc w:val="both"/>
      </w:pPr>
      <w:r w:rsidRPr="00D417F4">
        <w:t>zapewniać pełną kompatybilność z istniejącymi systemami Zamawiającego, tj. AMMS.</w:t>
      </w:r>
    </w:p>
    <w:p w14:paraId="5C5DFDD6" w14:textId="77777777" w:rsidR="00CA527C" w:rsidRPr="00D417F4" w:rsidRDefault="009257FB">
      <w:pPr>
        <w:numPr>
          <w:ilvl w:val="0"/>
          <w:numId w:val="1"/>
        </w:numPr>
        <w:spacing w:after="0" w:line="276" w:lineRule="auto"/>
        <w:jc w:val="both"/>
      </w:pPr>
      <w:r w:rsidRPr="00D417F4">
        <w:t>nie powodować konieczności modyfikacji kodu aplikacji, migracji danych ani zmiany architektury logicznej systemów Zamawiającego,</w:t>
      </w:r>
    </w:p>
    <w:p w14:paraId="53FEF1E0" w14:textId="5A6D74F0" w:rsidR="00CA527C" w:rsidRPr="00616CB5" w:rsidRDefault="009257FB" w:rsidP="00616CB5">
      <w:pPr>
        <w:numPr>
          <w:ilvl w:val="0"/>
          <w:numId w:val="1"/>
        </w:numPr>
        <w:spacing w:after="0" w:line="276" w:lineRule="auto"/>
        <w:jc w:val="both"/>
      </w:pPr>
      <w:r w:rsidRPr="00D417F4">
        <w:t>zapewniać ciągłość działania systemów produkcyjnych.</w:t>
      </w:r>
    </w:p>
    <w:tbl>
      <w:tblPr>
        <w:tblStyle w:val="a"/>
        <w:tblW w:w="1433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7982"/>
        <w:gridCol w:w="1350"/>
        <w:gridCol w:w="4280"/>
        <w:gridCol w:w="11"/>
      </w:tblGrid>
      <w:tr w:rsidR="00CA527C" w:rsidRPr="00D417F4" w14:paraId="68162142" w14:textId="77777777">
        <w:trPr>
          <w:gridAfter w:val="1"/>
          <w:wAfter w:w="11" w:type="dxa"/>
          <w:trHeight w:val="827"/>
        </w:trPr>
        <w:tc>
          <w:tcPr>
            <w:tcW w:w="709" w:type="dxa"/>
            <w:shd w:val="clear" w:color="auto" w:fill="D9D9D9"/>
            <w:vAlign w:val="center"/>
          </w:tcPr>
          <w:p w14:paraId="7691FCA2" w14:textId="77777777" w:rsidR="00CA527C" w:rsidRPr="00D417F4" w:rsidRDefault="009257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D417F4">
              <w:rPr>
                <w:rFonts w:asciiTheme="minorHAnsi" w:hAnsiTheme="minorHAnsi" w:cstheme="minorHAnsi"/>
                <w:b/>
                <w:bCs/>
              </w:rPr>
              <w:t>L.p.</w:t>
            </w:r>
          </w:p>
        </w:tc>
        <w:tc>
          <w:tcPr>
            <w:tcW w:w="7983" w:type="dxa"/>
            <w:shd w:val="clear" w:color="auto" w:fill="D9D9D9"/>
            <w:vAlign w:val="center"/>
          </w:tcPr>
          <w:p w14:paraId="5995C005" w14:textId="77777777" w:rsidR="00CA527C" w:rsidRPr="00D417F4" w:rsidRDefault="009257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D417F4">
              <w:rPr>
                <w:rFonts w:asciiTheme="minorHAnsi" w:hAnsiTheme="minorHAnsi" w:cstheme="minorHAnsi"/>
                <w:b/>
                <w:bCs/>
              </w:rPr>
              <w:t>Wymagania minimalne Zamawiającego</w:t>
            </w:r>
          </w:p>
        </w:tc>
        <w:tc>
          <w:tcPr>
            <w:tcW w:w="1350" w:type="dxa"/>
            <w:shd w:val="clear" w:color="auto" w:fill="D9D9D9"/>
            <w:vAlign w:val="center"/>
          </w:tcPr>
          <w:p w14:paraId="60F472AE" w14:textId="77777777" w:rsidR="00CA527C" w:rsidRPr="00D417F4" w:rsidRDefault="009257FB">
            <w:pPr>
              <w:spacing w:after="0"/>
              <w:ind w:left="96" w:firstLine="90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D417F4">
              <w:rPr>
                <w:rFonts w:asciiTheme="minorHAnsi" w:hAnsiTheme="minorHAnsi" w:cstheme="minorHAnsi"/>
                <w:b/>
                <w:bCs/>
              </w:rPr>
              <w:t>Parametr wymagany</w:t>
            </w:r>
          </w:p>
        </w:tc>
        <w:tc>
          <w:tcPr>
            <w:tcW w:w="4280" w:type="dxa"/>
            <w:shd w:val="clear" w:color="auto" w:fill="D9D9D9"/>
            <w:vAlign w:val="center"/>
          </w:tcPr>
          <w:p w14:paraId="1CE06883" w14:textId="77777777" w:rsidR="00CA527C" w:rsidRPr="00D417F4" w:rsidRDefault="009257FB">
            <w:pPr>
              <w:spacing w:after="0"/>
              <w:ind w:left="96" w:firstLine="90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D417F4">
              <w:rPr>
                <w:rFonts w:asciiTheme="minorHAnsi" w:hAnsiTheme="minorHAnsi" w:cstheme="minorHAnsi"/>
                <w:b/>
                <w:bCs/>
              </w:rPr>
              <w:t>Parametr oferowany Odpowiedź: TAK (będąca potwierdzeniem spełnienia parametru określonego w kolumnie nr 2 ) lub krótki opis (wg kolumny nr 3 )</w:t>
            </w:r>
          </w:p>
        </w:tc>
      </w:tr>
      <w:tr w:rsidR="00CA527C" w:rsidRPr="00D417F4" w14:paraId="6019FC81" w14:textId="77777777">
        <w:trPr>
          <w:gridAfter w:val="1"/>
          <w:wAfter w:w="11" w:type="dxa"/>
          <w:trHeight w:val="360"/>
        </w:trPr>
        <w:tc>
          <w:tcPr>
            <w:tcW w:w="709" w:type="dxa"/>
            <w:shd w:val="clear" w:color="auto" w:fill="D9D9D9"/>
            <w:vAlign w:val="center"/>
          </w:tcPr>
          <w:p w14:paraId="3406DF9B" w14:textId="77777777" w:rsidR="00CA527C" w:rsidRPr="00D417F4" w:rsidRDefault="00CA527C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</w:tc>
        <w:tc>
          <w:tcPr>
            <w:tcW w:w="7983" w:type="dxa"/>
            <w:shd w:val="clear" w:color="auto" w:fill="D9D9D9"/>
            <w:vAlign w:val="center"/>
          </w:tcPr>
          <w:p w14:paraId="06BD161A" w14:textId="77777777" w:rsidR="00CA527C" w:rsidRPr="00D417F4" w:rsidRDefault="009257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D417F4">
              <w:rPr>
                <w:rFonts w:asciiTheme="minorHAnsi" w:hAnsiTheme="minorHAnsi" w:cstheme="minorHAnsi"/>
                <w:b/>
                <w:bCs/>
              </w:rPr>
              <w:t>2</w:t>
            </w:r>
          </w:p>
        </w:tc>
        <w:tc>
          <w:tcPr>
            <w:tcW w:w="1350" w:type="dxa"/>
            <w:shd w:val="clear" w:color="auto" w:fill="D9D9D9"/>
            <w:vAlign w:val="center"/>
          </w:tcPr>
          <w:p w14:paraId="1F05A04A" w14:textId="77777777" w:rsidR="00CA527C" w:rsidRPr="00D417F4" w:rsidRDefault="009257FB">
            <w:pPr>
              <w:spacing w:after="0"/>
              <w:ind w:left="96" w:firstLine="90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D417F4">
              <w:rPr>
                <w:rFonts w:asciiTheme="minorHAnsi" w:hAnsiTheme="minorHAnsi" w:cstheme="minorHAnsi"/>
                <w:b/>
                <w:bCs/>
              </w:rPr>
              <w:t>3</w:t>
            </w:r>
          </w:p>
        </w:tc>
        <w:tc>
          <w:tcPr>
            <w:tcW w:w="4280" w:type="dxa"/>
            <w:shd w:val="clear" w:color="auto" w:fill="D9D9D9"/>
            <w:vAlign w:val="center"/>
          </w:tcPr>
          <w:p w14:paraId="35E2FD3E" w14:textId="77777777" w:rsidR="00CA527C" w:rsidRPr="00D417F4" w:rsidRDefault="009257FB">
            <w:pPr>
              <w:spacing w:after="0"/>
              <w:ind w:left="96" w:firstLine="90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D417F4">
              <w:rPr>
                <w:rFonts w:asciiTheme="minorHAnsi" w:hAnsiTheme="minorHAnsi" w:cstheme="minorHAnsi"/>
                <w:b/>
                <w:bCs/>
              </w:rPr>
              <w:t>4</w:t>
            </w:r>
          </w:p>
        </w:tc>
      </w:tr>
      <w:tr w:rsidR="00CA527C" w:rsidRPr="00D417F4" w14:paraId="63A6A27E" w14:textId="77777777">
        <w:trPr>
          <w:trHeight w:val="360"/>
        </w:trPr>
        <w:tc>
          <w:tcPr>
            <w:tcW w:w="14333" w:type="dxa"/>
            <w:gridSpan w:val="5"/>
            <w:shd w:val="clear" w:color="auto" w:fill="D9D9D9"/>
            <w:vAlign w:val="center"/>
          </w:tcPr>
          <w:p w14:paraId="5FF8B78E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  <w:b/>
                <w:bCs/>
              </w:rPr>
            </w:pPr>
            <w:r w:rsidRPr="00D417F4">
              <w:rPr>
                <w:rFonts w:asciiTheme="minorHAnsi" w:hAnsiTheme="minorHAnsi" w:cstheme="minorHAnsi"/>
                <w:b/>
                <w:bCs/>
              </w:rPr>
              <w:t>Wymagania licencyjne</w:t>
            </w:r>
          </w:p>
        </w:tc>
      </w:tr>
      <w:tr w:rsidR="00CA527C" w:rsidRPr="00D417F4" w14:paraId="60EBFD56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0AB4A8CC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4FBC5899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Licencje mają charakter bezterminowy (perpetual).</w:t>
            </w:r>
          </w:p>
        </w:tc>
        <w:tc>
          <w:tcPr>
            <w:tcW w:w="1350" w:type="dxa"/>
            <w:vAlign w:val="center"/>
          </w:tcPr>
          <w:p w14:paraId="079FD228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194E0394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156C141E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5862AB66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5C565C1E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Licencje nie ograniczają liczby użytkowników końcowych,</w:t>
            </w:r>
          </w:p>
        </w:tc>
        <w:tc>
          <w:tcPr>
            <w:tcW w:w="1350" w:type="dxa"/>
            <w:vAlign w:val="center"/>
          </w:tcPr>
          <w:p w14:paraId="7818D299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6B542068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661688BD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6E4C90BF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0A59E507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Licencje nie ograniczają liczby przetwarzanych, przechowywanych dokumentów, rekordów, plików ani transakcji.</w:t>
            </w:r>
          </w:p>
        </w:tc>
        <w:tc>
          <w:tcPr>
            <w:tcW w:w="1350" w:type="dxa"/>
            <w:vAlign w:val="center"/>
          </w:tcPr>
          <w:p w14:paraId="35B3F7EA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543A9297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1235A2BF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0988AB5B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5B227CBA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Wykonawca zapewni wsparcie producenta obejmującego aktualizacje oprogramowania,</w:t>
            </w:r>
          </w:p>
        </w:tc>
        <w:tc>
          <w:tcPr>
            <w:tcW w:w="1350" w:type="dxa"/>
            <w:vAlign w:val="center"/>
          </w:tcPr>
          <w:p w14:paraId="5517CE06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0D47AFF3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6859742D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2EB125F8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5D0A77DB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Wykonawca zapewni wsparcie producenta obejmującego poprawki bezpieczeństwa,</w:t>
            </w:r>
          </w:p>
        </w:tc>
        <w:tc>
          <w:tcPr>
            <w:tcW w:w="1350" w:type="dxa"/>
            <w:vAlign w:val="center"/>
          </w:tcPr>
          <w:p w14:paraId="75A4E173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5169F143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1285F8DA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4ACABE36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5EEFEB9E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Wykonawca zapewni wsparcie producenta obejmującego dostęp do dokumentacji technicznej producenta, przez okres minimum 36 miesięcy.</w:t>
            </w:r>
          </w:p>
        </w:tc>
        <w:tc>
          <w:tcPr>
            <w:tcW w:w="1350" w:type="dxa"/>
            <w:vAlign w:val="center"/>
          </w:tcPr>
          <w:p w14:paraId="352EE99C" w14:textId="5539D423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63C4DE03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29566DB1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38A87BEB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32A6AD1B" w14:textId="192575B1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  <w:b/>
                <w:bCs/>
                <w:u w:val="single"/>
              </w:rPr>
              <w:t>Kryterium punktowane:</w:t>
            </w:r>
            <w:r w:rsidRPr="00D417F4">
              <w:rPr>
                <w:rFonts w:asciiTheme="minorHAnsi" w:hAnsiTheme="minorHAnsi" w:cstheme="minorHAnsi"/>
              </w:rPr>
              <w:t xml:space="preserve"> Możliwość wydłużenia wsparcia producenta </w:t>
            </w:r>
            <w:r w:rsidR="00141996" w:rsidRPr="00D417F4">
              <w:rPr>
                <w:rFonts w:asciiTheme="minorHAnsi" w:hAnsiTheme="minorHAnsi" w:cstheme="minorHAnsi"/>
              </w:rPr>
              <w:t xml:space="preserve">(gwarancji) </w:t>
            </w:r>
            <w:r w:rsidRPr="00D417F4">
              <w:rPr>
                <w:rFonts w:asciiTheme="minorHAnsi" w:hAnsiTheme="minorHAnsi" w:cstheme="minorHAnsi"/>
              </w:rPr>
              <w:t>z 36 do 60 miesięcy na tych samych warunkach. (Należy wpisać „TAK” – 40 pkt lub „NIE” – 0 pkt)</w:t>
            </w:r>
          </w:p>
        </w:tc>
        <w:tc>
          <w:tcPr>
            <w:tcW w:w="1350" w:type="dxa"/>
            <w:vAlign w:val="center"/>
          </w:tcPr>
          <w:p w14:paraId="3F4BAA44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podać</w:t>
            </w:r>
          </w:p>
        </w:tc>
        <w:tc>
          <w:tcPr>
            <w:tcW w:w="4280" w:type="dxa"/>
            <w:vAlign w:val="center"/>
          </w:tcPr>
          <w:p w14:paraId="7006BA40" w14:textId="77777777" w:rsidR="00CE03D9" w:rsidRPr="00D417F4" w:rsidRDefault="00CE03D9">
            <w:pPr>
              <w:spacing w:after="0"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54CFDB27" w14:textId="2960576D" w:rsidR="00CA527C" w:rsidRPr="00D417F4" w:rsidRDefault="009257FB">
            <w:pPr>
              <w:spacing w:after="0"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D417F4">
              <w:rPr>
                <w:rFonts w:asciiTheme="minorHAnsi" w:hAnsiTheme="minorHAnsi" w:cstheme="minorHAnsi"/>
                <w:b/>
                <w:bCs/>
              </w:rPr>
              <w:t>..............................................</w:t>
            </w:r>
          </w:p>
          <w:p w14:paraId="184EE4F9" w14:textId="77777777" w:rsidR="00CA527C" w:rsidRPr="00D417F4" w:rsidRDefault="009257FB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D417F4">
              <w:rPr>
                <w:rFonts w:asciiTheme="minorHAnsi" w:hAnsiTheme="minorHAnsi" w:cstheme="minorHAnsi"/>
                <w:b/>
                <w:bCs/>
              </w:rPr>
              <w:t>Kryterium punktowane</w:t>
            </w:r>
          </w:p>
          <w:p w14:paraId="451748F3" w14:textId="79C0FFD6" w:rsidR="009257FB" w:rsidRPr="00D417F4" w:rsidRDefault="009257FB">
            <w:pPr>
              <w:spacing w:after="0"/>
              <w:jc w:val="center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011865C0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73BAE9DA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64AA4621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Dostarczone oprogramowanie stanowi jednorodny zestaw, zgodny ze sobą pod względem wersji i platformy.</w:t>
            </w:r>
          </w:p>
        </w:tc>
        <w:tc>
          <w:tcPr>
            <w:tcW w:w="1350" w:type="dxa"/>
            <w:vAlign w:val="center"/>
          </w:tcPr>
          <w:p w14:paraId="73515C97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135A0FAF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587BFFC5" w14:textId="77777777">
        <w:trPr>
          <w:trHeight w:val="345"/>
        </w:trPr>
        <w:tc>
          <w:tcPr>
            <w:tcW w:w="14333" w:type="dxa"/>
            <w:gridSpan w:val="5"/>
            <w:shd w:val="clear" w:color="auto" w:fill="D9D9D9"/>
            <w:vAlign w:val="center"/>
          </w:tcPr>
          <w:p w14:paraId="20041A91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  <w:b/>
                <w:bCs/>
              </w:rPr>
              <w:t>Platformy systemowe i sprzętowe</w:t>
            </w:r>
          </w:p>
        </w:tc>
      </w:tr>
      <w:tr w:rsidR="00CA527C" w:rsidRPr="00D417F4" w14:paraId="0D5ABD6A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28101EC4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0D792078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RDBMS jest dostępny na współczesnych 64-bitowych platformach systemowych, co najmniej:</w:t>
            </w:r>
          </w:p>
          <w:p w14:paraId="7ADF5835" w14:textId="77777777" w:rsidR="00CA527C" w:rsidRPr="00D417F4" w:rsidRDefault="009257FB">
            <w:pPr>
              <w:numPr>
                <w:ilvl w:val="0"/>
                <w:numId w:val="3"/>
              </w:num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Linux (x86-64),</w:t>
            </w:r>
          </w:p>
          <w:p w14:paraId="6547E76E" w14:textId="77777777" w:rsidR="00CA527C" w:rsidRPr="00D417F4" w:rsidRDefault="009257FB">
            <w:pPr>
              <w:numPr>
                <w:ilvl w:val="0"/>
                <w:numId w:val="3"/>
              </w:num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Microsoft Windows Server (x86-64),</w:t>
            </w:r>
          </w:p>
        </w:tc>
        <w:tc>
          <w:tcPr>
            <w:tcW w:w="1350" w:type="dxa"/>
            <w:vAlign w:val="center"/>
          </w:tcPr>
          <w:p w14:paraId="128662AC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4280" w:type="dxa"/>
            <w:vAlign w:val="center"/>
          </w:tcPr>
          <w:p w14:paraId="48840FB0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7E667C5A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6D214341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301DF3D9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Funkcjonalność serwera bazy danych jest identyczna na wszystkich wspieranych platformach.</w:t>
            </w:r>
          </w:p>
        </w:tc>
        <w:tc>
          <w:tcPr>
            <w:tcW w:w="1350" w:type="dxa"/>
            <w:vAlign w:val="center"/>
          </w:tcPr>
          <w:p w14:paraId="0820A094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66BD11F3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0993E9BF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3CBD8A2C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4E6A8F07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Oprogramowanie klienckie jest dostępne na platformach zgodnych z oprogramowaniem serwera.</w:t>
            </w:r>
          </w:p>
        </w:tc>
        <w:tc>
          <w:tcPr>
            <w:tcW w:w="1350" w:type="dxa"/>
            <w:vAlign w:val="center"/>
          </w:tcPr>
          <w:p w14:paraId="68FDDF99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6E77EB89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2D6F0955" w14:textId="77777777">
        <w:trPr>
          <w:trHeight w:val="345"/>
        </w:trPr>
        <w:tc>
          <w:tcPr>
            <w:tcW w:w="14333" w:type="dxa"/>
            <w:gridSpan w:val="5"/>
            <w:shd w:val="clear" w:color="auto" w:fill="D9D9D9"/>
            <w:vAlign w:val="center"/>
          </w:tcPr>
          <w:p w14:paraId="0A7B0B59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D417F4">
              <w:rPr>
                <w:rFonts w:asciiTheme="minorHAnsi" w:hAnsiTheme="minorHAnsi" w:cstheme="minorHAnsi"/>
                <w:b/>
                <w:bCs/>
              </w:rPr>
              <w:t>Standardy i interoperacyjność</w:t>
            </w:r>
          </w:p>
        </w:tc>
      </w:tr>
      <w:tr w:rsidR="00CA527C" w:rsidRPr="00D417F4" w14:paraId="7E1CF4FC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17C5DDF8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1CE12FA3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Wykonawca zapewnia wsparcie dla standardu ANSI/ISO SQL:2003 lub nowszego,</w:t>
            </w:r>
          </w:p>
        </w:tc>
        <w:tc>
          <w:tcPr>
            <w:tcW w:w="1350" w:type="dxa"/>
            <w:vAlign w:val="center"/>
          </w:tcPr>
          <w:p w14:paraId="05ED5111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4280" w:type="dxa"/>
            <w:vAlign w:val="center"/>
          </w:tcPr>
          <w:p w14:paraId="7C4BAC46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34C6FB5B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37EF559E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73B461CA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Wykonawca zapewnia wsparcie dla standardu JDBC 3.0 lub nowszego</w:t>
            </w:r>
          </w:p>
        </w:tc>
        <w:tc>
          <w:tcPr>
            <w:tcW w:w="1350" w:type="dxa"/>
            <w:vAlign w:val="center"/>
          </w:tcPr>
          <w:p w14:paraId="6A1888F4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4280" w:type="dxa"/>
            <w:vAlign w:val="center"/>
          </w:tcPr>
          <w:p w14:paraId="4A4ADB2C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5B76781E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50A599C4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7C08C785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Wykonawca zapewnia wsparcie dla protokołu XA</w:t>
            </w:r>
          </w:p>
        </w:tc>
        <w:tc>
          <w:tcPr>
            <w:tcW w:w="1350" w:type="dxa"/>
            <w:vAlign w:val="center"/>
          </w:tcPr>
          <w:p w14:paraId="77DB38EB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30237619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3E6FF5E2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6AEB0B56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561EC66C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RDBMS zapewnia niezależność platformy klienta od platformy serwera bazy danych.</w:t>
            </w:r>
          </w:p>
        </w:tc>
        <w:tc>
          <w:tcPr>
            <w:tcW w:w="1350" w:type="dxa"/>
            <w:vAlign w:val="center"/>
          </w:tcPr>
          <w:p w14:paraId="75AEF187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5374AF25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62F668E7" w14:textId="77777777">
        <w:trPr>
          <w:trHeight w:val="345"/>
        </w:trPr>
        <w:tc>
          <w:tcPr>
            <w:tcW w:w="14333" w:type="dxa"/>
            <w:gridSpan w:val="5"/>
            <w:shd w:val="clear" w:color="auto" w:fill="D9D9D9"/>
            <w:vAlign w:val="center"/>
          </w:tcPr>
          <w:p w14:paraId="6838B7F7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  <w:b/>
                <w:bCs/>
              </w:rPr>
              <w:t>Przetwarzanie transakcyjne</w:t>
            </w:r>
          </w:p>
        </w:tc>
      </w:tr>
      <w:tr w:rsidR="00CA527C" w:rsidRPr="00D417F4" w14:paraId="50C825C6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22234E85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3F880DAC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RDBMS spełnia reguły ACID</w:t>
            </w:r>
          </w:p>
        </w:tc>
        <w:tc>
          <w:tcPr>
            <w:tcW w:w="1350" w:type="dxa"/>
            <w:vAlign w:val="center"/>
          </w:tcPr>
          <w:p w14:paraId="618152A7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394CC256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202A000F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295DF02D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13D3C09F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Mechanizm izolacji transakcji umożliwia spójny odczyt danych bez blokowania operacji modyfikacji</w:t>
            </w:r>
          </w:p>
        </w:tc>
        <w:tc>
          <w:tcPr>
            <w:tcW w:w="1350" w:type="dxa"/>
            <w:vAlign w:val="center"/>
          </w:tcPr>
          <w:p w14:paraId="3D91582C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0BF0639C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632D8107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0651159F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6FB723E4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Mechanizm izolacji transakcji umożliwia poziomy izolacji: Read Committed, Read Only oraz Serializable,</w:t>
            </w:r>
          </w:p>
        </w:tc>
        <w:tc>
          <w:tcPr>
            <w:tcW w:w="1350" w:type="dxa"/>
            <w:vAlign w:val="center"/>
          </w:tcPr>
          <w:p w14:paraId="5FE8C555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7FE7301B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22992941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63BBE83F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3AC998A5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Mechanizm izolacji transakcji umożliwia zmianę poziomu izolacji na poziomie sesji lub zapytania.</w:t>
            </w:r>
          </w:p>
        </w:tc>
        <w:tc>
          <w:tcPr>
            <w:tcW w:w="1350" w:type="dxa"/>
            <w:vAlign w:val="center"/>
          </w:tcPr>
          <w:p w14:paraId="62F1D106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71ECC046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0E92BCCD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68D064C6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1DB6E8AF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Możliwa obsługa transakcji zagnieżdżonych oraz równoczesnych operacji DML na tych samych obiektach.</w:t>
            </w:r>
          </w:p>
        </w:tc>
        <w:tc>
          <w:tcPr>
            <w:tcW w:w="1350" w:type="dxa"/>
            <w:vAlign w:val="center"/>
          </w:tcPr>
          <w:p w14:paraId="0D093281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34E349CB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77F43EC3" w14:textId="77777777">
        <w:trPr>
          <w:trHeight w:val="345"/>
        </w:trPr>
        <w:tc>
          <w:tcPr>
            <w:tcW w:w="14333" w:type="dxa"/>
            <w:gridSpan w:val="5"/>
            <w:shd w:val="clear" w:color="auto" w:fill="D9D9D9"/>
            <w:vAlign w:val="center"/>
          </w:tcPr>
          <w:p w14:paraId="2E61C5F6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  <w:b/>
                <w:bCs/>
              </w:rPr>
              <w:t>Dane, indeksy i optymalizacja</w:t>
            </w:r>
          </w:p>
        </w:tc>
      </w:tr>
      <w:tr w:rsidR="00CA527C" w:rsidRPr="00D417F4" w14:paraId="2484159F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7018BB38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7FD34143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System RDBMS musi umożliwiać tworzenie indeksów typu B-tree o wielokolumnowej strukturze, zapewniających wysoką wydajność zapytań wielokolumnowych, w szczególności umożliwiających obsługę złożonych operacji filtrujących i sortujących w tabelach o dużej liczbie kolumn.</w:t>
            </w:r>
          </w:p>
        </w:tc>
        <w:tc>
          <w:tcPr>
            <w:tcW w:w="1350" w:type="dxa"/>
            <w:vAlign w:val="center"/>
          </w:tcPr>
          <w:p w14:paraId="667B9329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4280" w:type="dxa"/>
            <w:vAlign w:val="center"/>
          </w:tcPr>
          <w:p w14:paraId="2DC9746C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2DB5D5E1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7A3E4C0D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42F88004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RDBMS umożliwia tworzenie widoków materializowanych wraz z mechanizmami ich odświeżania (na żądanie, okresowo lub automatycznie),</w:t>
            </w:r>
          </w:p>
        </w:tc>
        <w:tc>
          <w:tcPr>
            <w:tcW w:w="1350" w:type="dxa"/>
            <w:vAlign w:val="center"/>
          </w:tcPr>
          <w:p w14:paraId="5253E581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77986DB6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3EC6B4F2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33DAEED5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71092FE7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RDBMS umożliwia kosztowy model optymalizacji zapytań SQL.</w:t>
            </w:r>
          </w:p>
        </w:tc>
        <w:tc>
          <w:tcPr>
            <w:tcW w:w="1350" w:type="dxa"/>
            <w:vAlign w:val="center"/>
          </w:tcPr>
          <w:p w14:paraId="087F988C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220BEE6E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49917753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68189096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116FC12F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Optymalizator zapytań umożliwia wykorzystanie statystyk opisujących rozkład danych oraz korelację wartości.</w:t>
            </w:r>
          </w:p>
        </w:tc>
        <w:tc>
          <w:tcPr>
            <w:tcW w:w="1350" w:type="dxa"/>
            <w:vAlign w:val="center"/>
          </w:tcPr>
          <w:p w14:paraId="0752D0C4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0F1F9485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26F622AD" w14:textId="77777777">
        <w:trPr>
          <w:trHeight w:val="345"/>
        </w:trPr>
        <w:tc>
          <w:tcPr>
            <w:tcW w:w="14333" w:type="dxa"/>
            <w:gridSpan w:val="5"/>
            <w:shd w:val="clear" w:color="auto" w:fill="D9D9D9"/>
            <w:vAlign w:val="center"/>
          </w:tcPr>
          <w:p w14:paraId="6C9B9027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  <w:b/>
                <w:bCs/>
              </w:rPr>
              <w:t>Programowalność</w:t>
            </w:r>
          </w:p>
        </w:tc>
      </w:tr>
      <w:tr w:rsidR="00CA527C" w:rsidRPr="00D417F4" w14:paraId="4CBC136F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4B9D2016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65E4D2A4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Dostępna obsługa procedur i funkcji składowanych,</w:t>
            </w:r>
          </w:p>
        </w:tc>
        <w:tc>
          <w:tcPr>
            <w:tcW w:w="1350" w:type="dxa"/>
            <w:vAlign w:val="center"/>
          </w:tcPr>
          <w:p w14:paraId="1671D7F0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2875DD6B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61F166CF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664260B0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1B843833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Dostępna obsługa języka proceduralnego blokowego z obsługą wyjątków,</w:t>
            </w:r>
          </w:p>
        </w:tc>
        <w:tc>
          <w:tcPr>
            <w:tcW w:w="1350" w:type="dxa"/>
            <w:vAlign w:val="center"/>
          </w:tcPr>
          <w:p w14:paraId="3A6CC476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79B9A4BA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71A4033B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0501FB21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380BD1FE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Dostępna obsługa definiowania mechanizmów wyzwalania automatycznych akcji (triggerów) w odpowiedzi na zmiany danych, zmiany struktury bazy danych oraz zdarzenia systemowe, w celu automatyzacji procesów, walidacji danych oraz zapewnienia integralności i audytowalności operacji.</w:t>
            </w:r>
          </w:p>
        </w:tc>
        <w:tc>
          <w:tcPr>
            <w:tcW w:w="1350" w:type="dxa"/>
            <w:vAlign w:val="center"/>
          </w:tcPr>
          <w:p w14:paraId="3883CF2C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33AF92EB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51BDCC57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3C1CE1AD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3B0A6B69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Procedury i funkcje umożliwiają parametryzację typami prostymi i złożonymi.</w:t>
            </w:r>
          </w:p>
        </w:tc>
        <w:tc>
          <w:tcPr>
            <w:tcW w:w="1350" w:type="dxa"/>
            <w:vAlign w:val="center"/>
          </w:tcPr>
          <w:p w14:paraId="19C77283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1380DD7D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0DEE1366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79550DD4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4F007141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Procedury i funkcje umożliwiają zwracanie zbiorów danych możliwych do wykorzystania w zapytaniach SQL</w:t>
            </w:r>
          </w:p>
        </w:tc>
        <w:tc>
          <w:tcPr>
            <w:tcW w:w="1350" w:type="dxa"/>
            <w:vAlign w:val="center"/>
          </w:tcPr>
          <w:p w14:paraId="5F05B28A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789F2F7F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5907D7CA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016AF811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7FBB46A4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Procedury i funkcje umożliwiają wykonywanie operacji DML i DDL oraz obsługę transakcji.</w:t>
            </w:r>
          </w:p>
        </w:tc>
        <w:tc>
          <w:tcPr>
            <w:tcW w:w="1350" w:type="dxa"/>
            <w:vAlign w:val="center"/>
          </w:tcPr>
          <w:p w14:paraId="4E91F0B3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4FCBD06D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7933FA46" w14:textId="77777777">
        <w:trPr>
          <w:trHeight w:val="345"/>
        </w:trPr>
        <w:tc>
          <w:tcPr>
            <w:tcW w:w="14333" w:type="dxa"/>
            <w:gridSpan w:val="5"/>
            <w:shd w:val="clear" w:color="auto" w:fill="D9D9D9"/>
            <w:vAlign w:val="center"/>
          </w:tcPr>
          <w:p w14:paraId="1CEE3355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  <w:b/>
                <w:bCs/>
              </w:rPr>
              <w:t>Dane znakowe i lokalizacja</w:t>
            </w:r>
          </w:p>
        </w:tc>
      </w:tr>
      <w:tr w:rsidR="00CA527C" w:rsidRPr="00D417F4" w14:paraId="01D949E2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5A154AAF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7DDF1421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RDBMS wspiera Unicode oraz narodowe zestawy znaków, w tym polskie strony kodowe.</w:t>
            </w:r>
          </w:p>
        </w:tc>
        <w:tc>
          <w:tcPr>
            <w:tcW w:w="1350" w:type="dxa"/>
            <w:vAlign w:val="center"/>
          </w:tcPr>
          <w:p w14:paraId="72144027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0DEE1647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5C03F359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07F41D66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3B1891AC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Dostępna jest automatyczna konwersja zestawów znaków pomiędzy klientem a serwerem.</w:t>
            </w:r>
          </w:p>
        </w:tc>
        <w:tc>
          <w:tcPr>
            <w:tcW w:w="1350" w:type="dxa"/>
            <w:vAlign w:val="center"/>
          </w:tcPr>
          <w:p w14:paraId="3899461F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6B23EB3A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3B166371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1E9B9119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511A37E9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RDBMS umożliwia migrację danych znakowych do Unicode.</w:t>
            </w:r>
          </w:p>
        </w:tc>
        <w:tc>
          <w:tcPr>
            <w:tcW w:w="1350" w:type="dxa"/>
            <w:vAlign w:val="center"/>
          </w:tcPr>
          <w:p w14:paraId="75DFB896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22B9559E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2A49F4C4" w14:textId="77777777">
        <w:trPr>
          <w:trHeight w:val="345"/>
        </w:trPr>
        <w:tc>
          <w:tcPr>
            <w:tcW w:w="14333" w:type="dxa"/>
            <w:gridSpan w:val="5"/>
            <w:shd w:val="clear" w:color="auto" w:fill="D9D9D9"/>
            <w:vAlign w:val="center"/>
          </w:tcPr>
          <w:p w14:paraId="64F1C61B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  <w:b/>
                <w:bCs/>
              </w:rPr>
              <w:t>Backup, odtwarzanie i wysoka dostępność</w:t>
            </w:r>
          </w:p>
        </w:tc>
      </w:tr>
      <w:tr w:rsidR="00CA527C" w:rsidRPr="00D417F4" w14:paraId="2ACCBC39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723FDFD0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177A1BE3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RDBMS posiada wbudowany mechanizm wykonywania kopii bezpieczeństwa i odtwarzania danych.</w:t>
            </w:r>
          </w:p>
        </w:tc>
        <w:tc>
          <w:tcPr>
            <w:tcW w:w="1350" w:type="dxa"/>
            <w:vAlign w:val="center"/>
          </w:tcPr>
          <w:p w14:paraId="428C878A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24389C31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17190590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0B5DA7EF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23002B68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Dostępne jest wykonywanie kopii w trybie online i offline,</w:t>
            </w:r>
          </w:p>
        </w:tc>
        <w:tc>
          <w:tcPr>
            <w:tcW w:w="1350" w:type="dxa"/>
            <w:vAlign w:val="center"/>
          </w:tcPr>
          <w:p w14:paraId="588DF55E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590B0704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6AF7CE5C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35F72860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65D4B427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Dostępna jest możliwość odtwarzania danych do punktu w czasie.</w:t>
            </w:r>
          </w:p>
        </w:tc>
        <w:tc>
          <w:tcPr>
            <w:tcW w:w="1350" w:type="dxa"/>
            <w:vAlign w:val="center"/>
          </w:tcPr>
          <w:p w14:paraId="2C102EBC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03DDB1BA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09DA229A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3FB49C8D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0EE6B441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RDBMS umożliwia integrację z systemami backupu klasy enterprise.</w:t>
            </w:r>
          </w:p>
        </w:tc>
        <w:tc>
          <w:tcPr>
            <w:tcW w:w="1350" w:type="dxa"/>
            <w:vAlign w:val="center"/>
          </w:tcPr>
          <w:p w14:paraId="439DCBB9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179D5532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2E8031C7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106E33B5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6EC25E59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Oferowana jest możliwość pracy w konfiguracji wysokiej dostępności w architekturze klastrowej obejmującej co najmniej dwa węzły.</w:t>
            </w:r>
          </w:p>
        </w:tc>
        <w:tc>
          <w:tcPr>
            <w:tcW w:w="1350" w:type="dxa"/>
            <w:vAlign w:val="center"/>
          </w:tcPr>
          <w:p w14:paraId="31AA73FE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TAK, podać</w:t>
            </w:r>
          </w:p>
        </w:tc>
        <w:tc>
          <w:tcPr>
            <w:tcW w:w="4280" w:type="dxa"/>
            <w:vAlign w:val="center"/>
          </w:tcPr>
          <w:p w14:paraId="7330B442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  <w:tr w:rsidR="00CA527C" w:rsidRPr="00D417F4" w14:paraId="01EB81B0" w14:textId="77777777">
        <w:trPr>
          <w:trHeight w:val="345"/>
        </w:trPr>
        <w:tc>
          <w:tcPr>
            <w:tcW w:w="14333" w:type="dxa"/>
            <w:gridSpan w:val="5"/>
            <w:shd w:val="clear" w:color="auto" w:fill="D9D9D9"/>
            <w:vAlign w:val="center"/>
          </w:tcPr>
          <w:p w14:paraId="0702650E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  <w:b/>
                <w:bCs/>
              </w:rPr>
              <w:lastRenderedPageBreak/>
              <w:t>Wymagania końcowe</w:t>
            </w:r>
          </w:p>
        </w:tc>
      </w:tr>
      <w:tr w:rsidR="00CA527C" w:rsidRPr="00D417F4" w14:paraId="48DE4F9B" w14:textId="77777777">
        <w:trPr>
          <w:gridAfter w:val="1"/>
          <w:wAfter w:w="11" w:type="dxa"/>
          <w:trHeight w:val="345"/>
        </w:trPr>
        <w:tc>
          <w:tcPr>
            <w:tcW w:w="709" w:type="dxa"/>
            <w:vAlign w:val="center"/>
          </w:tcPr>
          <w:p w14:paraId="42DAE7DF" w14:textId="77777777" w:rsidR="00CA527C" w:rsidRPr="00D417F4" w:rsidRDefault="00CA527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7983" w:type="dxa"/>
            <w:vAlign w:val="center"/>
          </w:tcPr>
          <w:p w14:paraId="62FE32EC" w14:textId="77777777" w:rsidR="00CA527C" w:rsidRPr="00D417F4" w:rsidRDefault="009257FB">
            <w:pPr>
              <w:spacing w:after="0" w:line="276" w:lineRule="auto"/>
              <w:jc w:val="both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Oferowane rozwiązanie jest rozwiązaniem produkcyjnym, wspieranym przez producenta, powszechnie stosowanym w środowiskach krytycznych, w szczególności w systemach ochrony zdrowia lub innych systemach o podwyższonych wymaganiach dotyczących dostępności i bezpieczeństwa.</w:t>
            </w:r>
          </w:p>
        </w:tc>
        <w:tc>
          <w:tcPr>
            <w:tcW w:w="1350" w:type="dxa"/>
            <w:vAlign w:val="center"/>
          </w:tcPr>
          <w:p w14:paraId="4CF48191" w14:textId="77777777" w:rsidR="00CA527C" w:rsidRPr="00D417F4" w:rsidRDefault="009257FB">
            <w:pPr>
              <w:spacing w:after="0"/>
              <w:rPr>
                <w:rFonts w:asciiTheme="minorHAnsi" w:hAnsiTheme="minorHAnsi" w:cstheme="minorHAnsi"/>
              </w:rPr>
            </w:pPr>
            <w:r w:rsidRPr="00D417F4"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4280" w:type="dxa"/>
            <w:vAlign w:val="center"/>
          </w:tcPr>
          <w:p w14:paraId="5B1B7EDA" w14:textId="77777777" w:rsidR="00CA527C" w:rsidRPr="00D417F4" w:rsidRDefault="00CA527C">
            <w:pPr>
              <w:spacing w:after="0"/>
              <w:rPr>
                <w:rFonts w:asciiTheme="minorHAnsi" w:hAnsiTheme="minorHAnsi" w:cstheme="minorHAnsi"/>
              </w:rPr>
            </w:pPr>
          </w:p>
        </w:tc>
      </w:tr>
    </w:tbl>
    <w:p w14:paraId="13A0C20E" w14:textId="77777777" w:rsidR="00CA527C" w:rsidRDefault="00CA527C">
      <w:pPr>
        <w:spacing w:after="0" w:line="276" w:lineRule="auto"/>
        <w:jc w:val="both"/>
        <w:rPr>
          <w:sz w:val="20"/>
          <w:szCs w:val="20"/>
        </w:rPr>
      </w:pPr>
    </w:p>
    <w:p w14:paraId="4F8C0D01" w14:textId="77777777" w:rsidR="007124EC" w:rsidRDefault="007124EC" w:rsidP="007124EC">
      <w:pPr>
        <w:numPr>
          <w:ilvl w:val="0"/>
          <w:numId w:val="4"/>
        </w:numPr>
        <w:spacing w:after="0" w:line="276" w:lineRule="auto"/>
        <w:jc w:val="both"/>
        <w:rPr>
          <w:rFonts w:asciiTheme="minorHAnsi" w:hAnsiTheme="minorHAnsi" w:cstheme="minorHAnsi"/>
          <w:szCs w:val="20"/>
        </w:rPr>
      </w:pPr>
      <w:r>
        <w:rPr>
          <w:rFonts w:asciiTheme="minorHAnsi" w:hAnsiTheme="minorHAnsi" w:cstheme="minorHAnsi"/>
          <w:szCs w:val="20"/>
        </w:rPr>
        <w:t xml:space="preserve">Parametry określone przez Zamawiającego w kolumnie </w:t>
      </w:r>
      <w:r>
        <w:rPr>
          <w:rFonts w:asciiTheme="minorHAnsi" w:hAnsiTheme="minorHAnsi" w:cstheme="minorHAnsi"/>
          <w:b/>
          <w:bCs/>
          <w:szCs w:val="20"/>
        </w:rPr>
        <w:t>„Parametr wymagany” słowem TAK są bezwzględnie wymagane</w:t>
      </w:r>
      <w:r>
        <w:rPr>
          <w:rFonts w:asciiTheme="minorHAnsi" w:hAnsiTheme="minorHAnsi" w:cstheme="minorHAnsi"/>
          <w:szCs w:val="20"/>
        </w:rPr>
        <w:t xml:space="preserve">, a ich wartości muszą spełniać zakres określony w tej kolumnie. </w:t>
      </w:r>
    </w:p>
    <w:p w14:paraId="4ADBD227" w14:textId="77777777" w:rsidR="007124EC" w:rsidRDefault="007124EC" w:rsidP="007124EC">
      <w:pPr>
        <w:numPr>
          <w:ilvl w:val="0"/>
          <w:numId w:val="4"/>
        </w:numPr>
        <w:spacing w:after="0" w:line="276" w:lineRule="auto"/>
        <w:jc w:val="both"/>
        <w:rPr>
          <w:rFonts w:asciiTheme="minorHAnsi" w:hAnsiTheme="minorHAnsi" w:cstheme="minorHAnsi"/>
          <w:szCs w:val="20"/>
        </w:rPr>
      </w:pPr>
      <w:r>
        <w:rPr>
          <w:rFonts w:asciiTheme="minorHAnsi" w:hAnsiTheme="minorHAnsi" w:cstheme="minorHAnsi"/>
          <w:szCs w:val="20"/>
        </w:rPr>
        <w:t xml:space="preserve">Parametry określone przez Zamawiającego w kolumnie </w:t>
      </w:r>
      <w:r>
        <w:rPr>
          <w:rFonts w:asciiTheme="minorHAnsi" w:hAnsiTheme="minorHAnsi" w:cstheme="minorHAnsi"/>
          <w:b/>
          <w:bCs/>
          <w:szCs w:val="20"/>
        </w:rPr>
        <w:t xml:space="preserve">„Parametr oferowany” słowem TAK, podać są bezwzględnie wymagane i należy uzupełnić przez podanie wymaganych informacji. </w:t>
      </w:r>
    </w:p>
    <w:p w14:paraId="6E1A067F" w14:textId="77777777" w:rsidR="007124EC" w:rsidRDefault="007124EC" w:rsidP="007124EC">
      <w:pPr>
        <w:numPr>
          <w:ilvl w:val="0"/>
          <w:numId w:val="4"/>
        </w:numPr>
        <w:spacing w:after="0" w:line="276" w:lineRule="auto"/>
        <w:jc w:val="both"/>
        <w:rPr>
          <w:rFonts w:asciiTheme="minorHAnsi" w:hAnsiTheme="minorHAnsi" w:cstheme="minorHAnsi"/>
          <w:szCs w:val="20"/>
        </w:rPr>
      </w:pPr>
      <w:r>
        <w:rPr>
          <w:rFonts w:asciiTheme="minorHAnsi" w:hAnsiTheme="minorHAnsi" w:cstheme="minorHAnsi"/>
          <w:szCs w:val="20"/>
        </w:rPr>
        <w:t>Załącznik wskazuje minimalne wymagania zamawiającego, które muszą zostać spełnione, natomiast wykonawca – wypełniając ten załącznik – oferuje konkretne rozwiązania, charakteryzując w ten sposób zaoferowany asortyment. Załącznik należy wypełnić w całości, bez wprowadzania zmian w jego treści – stanowi on integralną część oferty – deklarację wykonawcy co do jej treści.</w:t>
      </w:r>
    </w:p>
    <w:p w14:paraId="7778184A" w14:textId="77777777" w:rsidR="007124EC" w:rsidRDefault="007124EC" w:rsidP="007124EC">
      <w:pPr>
        <w:numPr>
          <w:ilvl w:val="0"/>
          <w:numId w:val="4"/>
        </w:numPr>
        <w:spacing w:after="0" w:line="276" w:lineRule="auto"/>
        <w:jc w:val="both"/>
        <w:rPr>
          <w:rFonts w:asciiTheme="minorHAnsi" w:hAnsiTheme="minorHAnsi" w:cstheme="minorHAnsi"/>
          <w:b/>
          <w:bCs/>
          <w:szCs w:val="20"/>
        </w:rPr>
      </w:pPr>
      <w:r>
        <w:rPr>
          <w:rFonts w:asciiTheme="minorHAnsi" w:hAnsiTheme="minorHAnsi" w:cstheme="minorHAnsi"/>
          <w:b/>
          <w:bCs/>
          <w:szCs w:val="20"/>
        </w:rPr>
        <w:t xml:space="preserve">Brak niniejszego załącznika w ofercie spowoduje odrzucenie oferty jako niezgodnej z SWZ. </w:t>
      </w:r>
    </w:p>
    <w:p w14:paraId="5548CD49" w14:textId="77777777" w:rsidR="007124EC" w:rsidRDefault="007124EC" w:rsidP="007124EC">
      <w:pPr>
        <w:numPr>
          <w:ilvl w:val="0"/>
          <w:numId w:val="4"/>
        </w:numPr>
        <w:spacing w:after="0" w:line="276" w:lineRule="auto"/>
        <w:jc w:val="both"/>
        <w:rPr>
          <w:rFonts w:asciiTheme="minorHAnsi" w:hAnsiTheme="minorHAnsi" w:cstheme="minorHAnsi"/>
          <w:szCs w:val="20"/>
        </w:rPr>
      </w:pPr>
      <w:r>
        <w:rPr>
          <w:rFonts w:asciiTheme="minorHAnsi" w:hAnsiTheme="minorHAnsi" w:cstheme="minorHAnsi"/>
          <w:szCs w:val="20"/>
        </w:rPr>
        <w:t>Modyfikacja załącznika przez Wykonawcę co do treści minimalnych wymagań Zamawiającego określonych w kolumnie nr 2 ww. tabeli, spowoduje odrzucenie oferty jako niezgodnej z SWZ.</w:t>
      </w:r>
    </w:p>
    <w:p w14:paraId="66D92FAD" w14:textId="113355DA" w:rsidR="007124EC" w:rsidRPr="007124EC" w:rsidRDefault="007124EC" w:rsidP="007124EC">
      <w:pPr>
        <w:numPr>
          <w:ilvl w:val="0"/>
          <w:numId w:val="4"/>
        </w:numPr>
        <w:spacing w:after="200" w:line="276" w:lineRule="auto"/>
        <w:jc w:val="both"/>
        <w:rPr>
          <w:rFonts w:asciiTheme="minorHAnsi" w:hAnsiTheme="minorHAnsi" w:cstheme="minorHAnsi"/>
          <w:szCs w:val="20"/>
        </w:rPr>
      </w:pPr>
      <w:r>
        <w:rPr>
          <w:rFonts w:asciiTheme="minorHAnsi" w:hAnsiTheme="minorHAnsi" w:cstheme="minorHAnsi"/>
          <w:szCs w:val="20"/>
        </w:rPr>
        <w:t xml:space="preserve">Brak uzupełniania danych przez Wykonawcę w poszczególnych wierszach kolumny nr 4 "Parametr oferowany" ww. tabeli, będzie traktowany jako brak danego parametru w oferowanej macierzy, co spowoduje odrzucenie oferty jako niezgodnej z SWZ.  </w:t>
      </w:r>
    </w:p>
    <w:p w14:paraId="641BF81F" w14:textId="77777777" w:rsidR="007124EC" w:rsidRDefault="007124EC">
      <w:pPr>
        <w:tabs>
          <w:tab w:val="left" w:pos="1978"/>
          <w:tab w:val="left" w:pos="3828"/>
          <w:tab w:val="center" w:pos="4677"/>
        </w:tabs>
        <w:spacing w:after="0"/>
        <w:jc w:val="center"/>
        <w:rPr>
          <w:b/>
          <w:bCs/>
          <w:i/>
          <w:iCs/>
          <w:color w:val="4472C4"/>
        </w:rPr>
      </w:pPr>
    </w:p>
    <w:p w14:paraId="19415746" w14:textId="3506E214" w:rsidR="00CA527C" w:rsidRDefault="009257FB">
      <w:pPr>
        <w:tabs>
          <w:tab w:val="left" w:pos="1978"/>
          <w:tab w:val="left" w:pos="3828"/>
          <w:tab w:val="center" w:pos="4677"/>
        </w:tabs>
        <w:spacing w:after="0"/>
        <w:jc w:val="center"/>
        <w:rPr>
          <w:b/>
          <w:bCs/>
          <w:i/>
          <w:iCs/>
          <w:color w:val="4472C4"/>
        </w:rPr>
      </w:pPr>
      <w:r>
        <w:rPr>
          <w:b/>
          <w:bCs/>
          <w:i/>
          <w:iCs/>
          <w:color w:val="4472C4"/>
        </w:rPr>
        <w:t>Formularz należy wypełnić i podpisać kwalifikowanym podpisem elektronicznym.</w:t>
      </w:r>
    </w:p>
    <w:p w14:paraId="7ABDD724" w14:textId="77777777" w:rsidR="00CA527C" w:rsidRDefault="009257FB">
      <w:pPr>
        <w:tabs>
          <w:tab w:val="left" w:pos="1978"/>
          <w:tab w:val="left" w:pos="3828"/>
          <w:tab w:val="center" w:pos="4677"/>
        </w:tabs>
        <w:spacing w:after="0"/>
        <w:jc w:val="center"/>
        <w:rPr>
          <w:b/>
          <w:bCs/>
          <w:i/>
          <w:iCs/>
          <w:color w:val="4472C4"/>
        </w:rPr>
      </w:pPr>
      <w:r>
        <w:rPr>
          <w:b/>
          <w:bCs/>
          <w:i/>
          <w:iCs/>
          <w:color w:val="4472C4"/>
        </w:rPr>
        <w:t>Zamawiający zaleca przed podpisaniem zapisanie dokumentu w formacie PDF.</w:t>
      </w:r>
    </w:p>
    <w:p w14:paraId="5FF3818D" w14:textId="77777777" w:rsidR="00CA527C" w:rsidRDefault="00CA527C">
      <w:pPr>
        <w:spacing w:after="0" w:line="276" w:lineRule="auto"/>
        <w:jc w:val="both"/>
        <w:rPr>
          <w:sz w:val="20"/>
          <w:szCs w:val="20"/>
        </w:rPr>
      </w:pPr>
    </w:p>
    <w:sectPr w:rsidR="00CA527C">
      <w:headerReference w:type="default" r:id="rId8"/>
      <w:pgSz w:w="16838" w:h="11906" w:orient="landscape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848A19" w14:textId="77777777" w:rsidR="00400E4D" w:rsidRDefault="00400E4D">
      <w:pPr>
        <w:spacing w:after="0" w:line="240" w:lineRule="auto"/>
      </w:pPr>
      <w:r>
        <w:separator/>
      </w:r>
    </w:p>
  </w:endnote>
  <w:endnote w:type="continuationSeparator" w:id="0">
    <w:p w14:paraId="5A2EEE10" w14:textId="77777777" w:rsidR="00400E4D" w:rsidRDefault="00400E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CED5EABE-8B1D-41D6-B04E-348386F5348E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B237FD83-112A-4DC1-94AB-C271DF9689F4}"/>
    <w:embedBold r:id="rId3" w:fontKey="{72832066-F493-420C-A905-48E2A155CEB1}"/>
    <w:embedBoldItalic r:id="rId4" w:fontKey="{9B0319CC-15B8-4F95-986C-A09E49D83A23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5" w:fontKey="{72A2E1B6-D3D9-45EB-8A13-C6E493565E69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6" w:fontKey="{F1ED12CD-DB89-4A95-AE60-8695B40C42C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7148EE" w14:textId="77777777" w:rsidR="00400E4D" w:rsidRDefault="00400E4D">
      <w:pPr>
        <w:spacing w:after="0" w:line="240" w:lineRule="auto"/>
      </w:pPr>
      <w:r>
        <w:separator/>
      </w:r>
    </w:p>
  </w:footnote>
  <w:footnote w:type="continuationSeparator" w:id="0">
    <w:p w14:paraId="6BE851F4" w14:textId="77777777" w:rsidR="00400E4D" w:rsidRDefault="00400E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70297A" w14:textId="77777777" w:rsidR="00CA527C" w:rsidRDefault="009257F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rFonts w:ascii="Times New Roman" w:eastAsia="Times New Roman" w:hAnsi="Times New Roman" w:cs="Times New Roman"/>
        <w:noProof/>
        <w:color w:val="000000"/>
      </w:rPr>
      <w:drawing>
        <wp:inline distT="0" distB="0" distL="0" distR="0" wp14:anchorId="056D03D4" wp14:editId="42389303">
          <wp:extent cx="8926243" cy="1007064"/>
          <wp:effectExtent l="0" t="0" r="0" b="0"/>
          <wp:docPr id="2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926243" cy="100706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B73200"/>
    <w:multiLevelType w:val="multilevel"/>
    <w:tmpl w:val="D5BE9CC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3AD710BD"/>
    <w:multiLevelType w:val="multilevel"/>
    <w:tmpl w:val="9B78FA72"/>
    <w:lvl w:ilvl="0">
      <w:start w:val="1"/>
      <w:numFmt w:val="bullet"/>
      <w:lvlText w:val="●"/>
      <w:lvlJc w:val="left"/>
      <w:pPr>
        <w:ind w:left="597" w:hanging="171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553" w:hanging="360"/>
      </w:pPr>
    </w:lvl>
    <w:lvl w:ilvl="2">
      <w:start w:val="1"/>
      <w:numFmt w:val="lowerRoman"/>
      <w:lvlText w:val="%3."/>
      <w:lvlJc w:val="right"/>
      <w:pPr>
        <w:ind w:left="2273" w:hanging="180"/>
      </w:pPr>
    </w:lvl>
    <w:lvl w:ilvl="3">
      <w:start w:val="1"/>
      <w:numFmt w:val="decimal"/>
      <w:lvlText w:val="%4."/>
      <w:lvlJc w:val="left"/>
      <w:pPr>
        <w:ind w:left="2993" w:hanging="360"/>
      </w:pPr>
    </w:lvl>
    <w:lvl w:ilvl="4">
      <w:start w:val="1"/>
      <w:numFmt w:val="lowerLetter"/>
      <w:lvlText w:val="%5."/>
      <w:lvlJc w:val="left"/>
      <w:pPr>
        <w:ind w:left="3713" w:hanging="360"/>
      </w:pPr>
    </w:lvl>
    <w:lvl w:ilvl="5">
      <w:start w:val="1"/>
      <w:numFmt w:val="lowerRoman"/>
      <w:lvlText w:val="%6."/>
      <w:lvlJc w:val="right"/>
      <w:pPr>
        <w:ind w:left="4433" w:hanging="180"/>
      </w:pPr>
    </w:lvl>
    <w:lvl w:ilvl="6">
      <w:start w:val="1"/>
      <w:numFmt w:val="decimal"/>
      <w:lvlText w:val="%7."/>
      <w:lvlJc w:val="left"/>
      <w:pPr>
        <w:ind w:left="5153" w:hanging="360"/>
      </w:pPr>
    </w:lvl>
    <w:lvl w:ilvl="7">
      <w:start w:val="1"/>
      <w:numFmt w:val="lowerLetter"/>
      <w:lvlText w:val="%8."/>
      <w:lvlJc w:val="left"/>
      <w:pPr>
        <w:ind w:left="5873" w:hanging="360"/>
      </w:pPr>
    </w:lvl>
    <w:lvl w:ilvl="8">
      <w:start w:val="1"/>
      <w:numFmt w:val="lowerRoman"/>
      <w:lvlText w:val="%9."/>
      <w:lvlJc w:val="right"/>
      <w:pPr>
        <w:ind w:left="6593" w:hanging="180"/>
      </w:pPr>
    </w:lvl>
  </w:abstractNum>
  <w:abstractNum w:abstractNumId="2" w15:restartNumberingAfterBreak="0">
    <w:nsid w:val="501D2E2A"/>
    <w:multiLevelType w:val="multilevel"/>
    <w:tmpl w:val="A07E8896"/>
    <w:lvl w:ilvl="0">
      <w:start w:val="1"/>
      <w:numFmt w:val="decimal"/>
      <w:lvlText w:val="%1."/>
      <w:lvlJc w:val="center"/>
      <w:pPr>
        <w:ind w:left="597" w:hanging="171"/>
      </w:pPr>
    </w:lvl>
    <w:lvl w:ilvl="1">
      <w:start w:val="1"/>
      <w:numFmt w:val="lowerLetter"/>
      <w:lvlText w:val="%2."/>
      <w:lvlJc w:val="left"/>
      <w:pPr>
        <w:ind w:left="1553" w:hanging="360"/>
      </w:pPr>
    </w:lvl>
    <w:lvl w:ilvl="2">
      <w:start w:val="1"/>
      <w:numFmt w:val="lowerRoman"/>
      <w:lvlText w:val="%3."/>
      <w:lvlJc w:val="right"/>
      <w:pPr>
        <w:ind w:left="2273" w:hanging="180"/>
      </w:pPr>
    </w:lvl>
    <w:lvl w:ilvl="3">
      <w:start w:val="1"/>
      <w:numFmt w:val="decimal"/>
      <w:lvlText w:val="%4."/>
      <w:lvlJc w:val="left"/>
      <w:pPr>
        <w:ind w:left="2993" w:hanging="360"/>
      </w:pPr>
    </w:lvl>
    <w:lvl w:ilvl="4">
      <w:start w:val="1"/>
      <w:numFmt w:val="lowerLetter"/>
      <w:lvlText w:val="%5."/>
      <w:lvlJc w:val="left"/>
      <w:pPr>
        <w:ind w:left="3713" w:hanging="360"/>
      </w:pPr>
    </w:lvl>
    <w:lvl w:ilvl="5">
      <w:start w:val="1"/>
      <w:numFmt w:val="lowerRoman"/>
      <w:lvlText w:val="%6."/>
      <w:lvlJc w:val="right"/>
      <w:pPr>
        <w:ind w:left="4433" w:hanging="180"/>
      </w:pPr>
    </w:lvl>
    <w:lvl w:ilvl="6">
      <w:start w:val="1"/>
      <w:numFmt w:val="decimal"/>
      <w:lvlText w:val="%7."/>
      <w:lvlJc w:val="left"/>
      <w:pPr>
        <w:ind w:left="5153" w:hanging="360"/>
      </w:pPr>
    </w:lvl>
    <w:lvl w:ilvl="7">
      <w:start w:val="1"/>
      <w:numFmt w:val="lowerLetter"/>
      <w:lvlText w:val="%8."/>
      <w:lvlJc w:val="left"/>
      <w:pPr>
        <w:ind w:left="5873" w:hanging="360"/>
      </w:pPr>
    </w:lvl>
    <w:lvl w:ilvl="8">
      <w:start w:val="1"/>
      <w:numFmt w:val="lowerRoman"/>
      <w:lvlText w:val="%9."/>
      <w:lvlJc w:val="right"/>
      <w:pPr>
        <w:ind w:left="6593" w:hanging="180"/>
      </w:pPr>
    </w:lvl>
  </w:abstractNum>
  <w:abstractNum w:abstractNumId="3" w15:restartNumberingAfterBreak="0">
    <w:nsid w:val="61F54418"/>
    <w:multiLevelType w:val="multilevel"/>
    <w:tmpl w:val="2AC896CC"/>
    <w:lvl w:ilvl="0">
      <w:start w:val="1"/>
      <w:numFmt w:val="decimal"/>
      <w:lvlText w:val="%1.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strike w:val="0"/>
        <w:dstrike w:val="0"/>
        <w:u w:val="none"/>
        <w:effect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strike w:val="0"/>
        <w:dstrike w:val="0"/>
        <w:u w:val="none"/>
        <w:effect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strike w:val="0"/>
        <w:dstrike w:val="0"/>
        <w:u w:val="none"/>
        <w:effect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strike w:val="0"/>
        <w:dstrike w:val="0"/>
        <w:u w:val="none"/>
        <w:effect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strike w:val="0"/>
        <w:dstrike w:val="0"/>
        <w:u w:val="none"/>
        <w:effect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strike w:val="0"/>
        <w:dstrike w:val="0"/>
        <w:u w:val="none"/>
        <w:effect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strike w:val="0"/>
        <w:dstrike w:val="0"/>
        <w:u w:val="none"/>
        <w:effect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strike w:val="0"/>
        <w:dstrike w:val="0"/>
        <w:u w:val="none"/>
        <w:effect w:val="none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A527C"/>
    <w:rsid w:val="00141996"/>
    <w:rsid w:val="00400E4D"/>
    <w:rsid w:val="00616CB5"/>
    <w:rsid w:val="007124EC"/>
    <w:rsid w:val="00796744"/>
    <w:rsid w:val="008B73ED"/>
    <w:rsid w:val="009257FB"/>
    <w:rsid w:val="009515C7"/>
    <w:rsid w:val="00991F28"/>
    <w:rsid w:val="00A33040"/>
    <w:rsid w:val="00AD08A2"/>
    <w:rsid w:val="00CA527C"/>
    <w:rsid w:val="00CE03D9"/>
    <w:rsid w:val="00D417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5A1CADAA"/>
  <w15:docId w15:val="{0CAA7CDB-4AE8-4CC1-8BC0-6ED907AE15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spacing w:before="40" w:after="0"/>
      <w:outlineLvl w:val="1"/>
    </w:pPr>
    <w:rPr>
      <w:color w:val="2F5496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spacing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Nagwek4Znak">
    <w:name w:val="Nagłówek 4 Znak"/>
    <w:basedOn w:val="Domylnaczcionkaakapitu"/>
    <w:uiPriority w:val="9"/>
    <w:rsid w:val="0071238C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paragraph" w:styleId="NormalnyWeb">
    <w:name w:val="Normal (Web)"/>
    <w:uiPriority w:val="99"/>
    <w:semiHidden/>
    <w:unhideWhenUsed/>
    <w:rsid w:val="007123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agwek2Znak">
    <w:name w:val="Nagłówek 2 Znak"/>
    <w:basedOn w:val="Domylnaczcionkaakapitu"/>
    <w:uiPriority w:val="9"/>
    <w:rsid w:val="00E23CA0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">
    <w:name w:val="header"/>
    <w:link w:val="NagwekZnak"/>
    <w:uiPriority w:val="99"/>
    <w:unhideWhenUsed/>
    <w:rsid w:val="00E23C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23CA0"/>
  </w:style>
  <w:style w:type="paragraph" w:styleId="Stopka">
    <w:name w:val="footer"/>
    <w:link w:val="StopkaZnak"/>
    <w:uiPriority w:val="99"/>
    <w:unhideWhenUsed/>
    <w:rsid w:val="00E23C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23CA0"/>
  </w:style>
  <w:style w:type="character" w:styleId="Odwoaniedokomentarza">
    <w:name w:val="annotation reference"/>
    <w:basedOn w:val="Domylnaczcionkaakapitu"/>
    <w:uiPriority w:val="99"/>
    <w:semiHidden/>
    <w:unhideWhenUsed/>
    <w:rsid w:val="00E02099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E0209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0209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0209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02099"/>
    <w:rPr>
      <w:b/>
      <w:bCs/>
      <w:sz w:val="20"/>
      <w:szCs w:val="20"/>
    </w:rPr>
  </w:style>
  <w:style w:type="paragraph" w:styleId="Akapitzlist">
    <w:name w:val="List Paragraph"/>
    <w:uiPriority w:val="34"/>
    <w:qFormat/>
    <w:rsid w:val="000B57F0"/>
    <w:pPr>
      <w:ind w:left="720"/>
      <w:contextualSpacing/>
    </w:p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7984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QEtAquvablK+LnHiwKZqOeUfhbQ==">CgMxLjAyDmgud21xcmlzdHM3dDNkMg5oLnc5MHNrMXNxY3hmODIOaC5wdTA5cW11NDZiZjQ4AHIhMV94TFVhOVNOSC15enR4ZGpzY2JzYVdaREQ4MzJoMzR3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1019</Words>
  <Characters>6117</Characters>
  <Application>Microsoft Office Word</Application>
  <DocSecurity>0</DocSecurity>
  <Lines>50</Lines>
  <Paragraphs>14</Paragraphs>
  <ScaleCrop>false</ScaleCrop>
  <Company/>
  <LinksUpToDate>false</LinksUpToDate>
  <CharactersWithSpaces>7122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gosc2</dc:creator>
  <cp:lastModifiedBy>Agata Grześczak</cp:lastModifiedBy>
  <cp:revision>11</cp:revision>
  <dcterms:created xsi:type="dcterms:W3CDTF">2026-01-25T13:31:00Z</dcterms:created>
  <dcterms:modified xsi:type="dcterms:W3CDTF">2026-02-20T14:54:00Z</dcterms:modified>
</cp:coreProperties>
</file>